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2803A" w14:textId="4042838F" w:rsidR="00F37651" w:rsidRDefault="008A5C69" w:rsidP="005673B8">
      <w:pPr>
        <w:pStyle w:val="Title"/>
      </w:pPr>
      <w:r>
        <w:t>memorandum</w:t>
      </w:r>
    </w:p>
    <w:tbl>
      <w:tblPr>
        <w:tblW w:w="5043" w:type="pct"/>
        <w:tblLayout w:type="fixed"/>
        <w:tblCellMar>
          <w:left w:w="0" w:type="dxa"/>
          <w:right w:w="0" w:type="dxa"/>
        </w:tblCellMar>
        <w:tblLook w:val="04A0" w:firstRow="1" w:lastRow="0" w:firstColumn="1" w:lastColumn="0" w:noHBand="0" w:noVBand="1"/>
        <w:tblDescription w:val="Memo information table"/>
      </w:tblPr>
      <w:tblGrid>
        <w:gridCol w:w="1368"/>
        <w:gridCol w:w="7346"/>
      </w:tblGrid>
      <w:tr w:rsidR="005673B8" w14:paraId="6C7661FC" w14:textId="77777777" w:rsidTr="00904D59">
        <w:trPr>
          <w:cantSplit/>
          <w:trHeight w:val="546"/>
        </w:trPr>
        <w:tc>
          <w:tcPr>
            <w:tcW w:w="1368" w:type="dxa"/>
          </w:tcPr>
          <w:p w14:paraId="0B2E2F07" w14:textId="77777777" w:rsidR="005673B8" w:rsidRPr="005673B8" w:rsidRDefault="00DC5B21" w:rsidP="005673B8">
            <w:pPr>
              <w:pStyle w:val="Heading1"/>
            </w:pPr>
            <w:sdt>
              <w:sdtPr>
                <w:alias w:val="To:"/>
                <w:tag w:val="To:"/>
                <w:id w:val="1046877984"/>
                <w:placeholder>
                  <w:docPart w:val="76C2CF76CE7443EE9142168172D824D6"/>
                </w:placeholder>
                <w:temporary/>
                <w:showingPlcHdr/>
                <w15:appearance w15:val="hidden"/>
              </w:sdtPr>
              <w:sdtEndPr/>
              <w:sdtContent>
                <w:r w:rsidR="00020E86" w:rsidRPr="005673B8">
                  <w:t>to</w:t>
                </w:r>
              </w:sdtContent>
            </w:sdt>
            <w:r w:rsidR="005673B8" w:rsidRPr="005673B8">
              <w:t>:</w:t>
            </w:r>
          </w:p>
        </w:tc>
        <w:tc>
          <w:tcPr>
            <w:tcW w:w="7346" w:type="dxa"/>
          </w:tcPr>
          <w:p w14:paraId="05CEE00F" w14:textId="29FF8797" w:rsidR="005673B8" w:rsidRPr="00F358EA" w:rsidRDefault="008A5C69" w:rsidP="007A1081">
            <w:pPr>
              <w:pStyle w:val="Heading2"/>
            </w:pPr>
            <w:r>
              <w:t>all landlords</w:t>
            </w:r>
          </w:p>
        </w:tc>
      </w:tr>
      <w:tr w:rsidR="005673B8" w14:paraId="718ADADA" w14:textId="77777777" w:rsidTr="00904D59">
        <w:trPr>
          <w:cantSplit/>
          <w:trHeight w:val="531"/>
        </w:trPr>
        <w:tc>
          <w:tcPr>
            <w:tcW w:w="1368" w:type="dxa"/>
          </w:tcPr>
          <w:p w14:paraId="1499E5C7" w14:textId="77777777" w:rsidR="005673B8" w:rsidRPr="005673B8" w:rsidRDefault="00DC5B21" w:rsidP="005673B8">
            <w:pPr>
              <w:pStyle w:val="Heading1"/>
            </w:pPr>
            <w:sdt>
              <w:sdtPr>
                <w:alias w:val="From:"/>
                <w:tag w:val="From:"/>
                <w:id w:val="-628706206"/>
                <w:placeholder>
                  <w:docPart w:val="A62C8F742A394DAA8A93E0E37AC5B779"/>
                </w:placeholder>
                <w:temporary/>
                <w:showingPlcHdr/>
                <w15:appearance w15:val="hidden"/>
              </w:sdtPr>
              <w:sdtEndPr/>
              <w:sdtContent>
                <w:r w:rsidR="00020E86" w:rsidRPr="005673B8">
                  <w:t>from</w:t>
                </w:r>
              </w:sdtContent>
            </w:sdt>
            <w:r w:rsidR="005673B8" w:rsidRPr="005673B8">
              <w:t>:</w:t>
            </w:r>
          </w:p>
        </w:tc>
        <w:tc>
          <w:tcPr>
            <w:tcW w:w="7346" w:type="dxa"/>
          </w:tcPr>
          <w:p w14:paraId="6F10C60D" w14:textId="423B9B90" w:rsidR="005673B8" w:rsidRPr="00F358EA" w:rsidRDefault="008A5C69" w:rsidP="007A1081">
            <w:pPr>
              <w:pStyle w:val="Heading2"/>
            </w:pPr>
            <w:r>
              <w:t>kurt holmes</w:t>
            </w:r>
          </w:p>
        </w:tc>
      </w:tr>
      <w:tr w:rsidR="005673B8" w14:paraId="5E5E1B88" w14:textId="77777777" w:rsidTr="00904D59">
        <w:trPr>
          <w:cantSplit/>
          <w:trHeight w:val="546"/>
        </w:trPr>
        <w:tc>
          <w:tcPr>
            <w:tcW w:w="1368" w:type="dxa"/>
          </w:tcPr>
          <w:p w14:paraId="76FAE064" w14:textId="77777777" w:rsidR="005673B8" w:rsidRPr="005673B8" w:rsidRDefault="00DC5B21" w:rsidP="005673B8">
            <w:pPr>
              <w:pStyle w:val="Heading1"/>
            </w:pPr>
            <w:sdt>
              <w:sdtPr>
                <w:alias w:val="Subject:"/>
                <w:tag w:val="Subject:"/>
                <w:id w:val="-136491269"/>
                <w:placeholder>
                  <w:docPart w:val="EF65FB8DDAAE4269A02801FE8D1AA600"/>
                </w:placeholder>
                <w:temporary/>
                <w:showingPlcHdr/>
                <w15:appearance w15:val="hidden"/>
              </w:sdtPr>
              <w:sdtEndPr/>
              <w:sdtContent>
                <w:r w:rsidR="00020E86" w:rsidRPr="005673B8">
                  <w:t>subject</w:t>
                </w:r>
              </w:sdtContent>
            </w:sdt>
            <w:r w:rsidR="005673B8" w:rsidRPr="005673B8">
              <w:t>:</w:t>
            </w:r>
          </w:p>
        </w:tc>
        <w:tc>
          <w:tcPr>
            <w:tcW w:w="7346" w:type="dxa"/>
          </w:tcPr>
          <w:p w14:paraId="117F5EA2" w14:textId="714D5C03" w:rsidR="005673B8" w:rsidRPr="00F358EA" w:rsidRDefault="008A5C69" w:rsidP="007A1081">
            <w:pPr>
              <w:pStyle w:val="Heading2"/>
            </w:pPr>
            <w:r>
              <w:t>eviction status update</w:t>
            </w:r>
          </w:p>
        </w:tc>
      </w:tr>
      <w:tr w:rsidR="005673B8" w14:paraId="796D7043" w14:textId="77777777" w:rsidTr="00904D59">
        <w:trPr>
          <w:cantSplit/>
          <w:trHeight w:val="531"/>
        </w:trPr>
        <w:tc>
          <w:tcPr>
            <w:tcW w:w="1368" w:type="dxa"/>
          </w:tcPr>
          <w:p w14:paraId="5B531077" w14:textId="77777777" w:rsidR="005673B8" w:rsidRPr="005673B8" w:rsidRDefault="00DC5B21" w:rsidP="005673B8">
            <w:pPr>
              <w:pStyle w:val="Heading1"/>
            </w:pPr>
            <w:sdt>
              <w:sdtPr>
                <w:alias w:val="Date:"/>
                <w:tag w:val="Date:"/>
                <w:id w:val="-213813602"/>
                <w:placeholder>
                  <w:docPart w:val="5E5724B02C4B45B9850B0C60172CF70D"/>
                </w:placeholder>
                <w:temporary/>
                <w:showingPlcHdr/>
                <w15:appearance w15:val="hidden"/>
              </w:sdtPr>
              <w:sdtEndPr/>
              <w:sdtContent>
                <w:r w:rsidR="00020E86" w:rsidRPr="005673B8">
                  <w:t>date</w:t>
                </w:r>
              </w:sdtContent>
            </w:sdt>
            <w:r w:rsidR="005673B8" w:rsidRPr="005673B8">
              <w:t>:</w:t>
            </w:r>
          </w:p>
        </w:tc>
        <w:tc>
          <w:tcPr>
            <w:tcW w:w="7346" w:type="dxa"/>
          </w:tcPr>
          <w:p w14:paraId="642C8A8F" w14:textId="5E456072" w:rsidR="005673B8" w:rsidRDefault="00E325FF" w:rsidP="007A1081">
            <w:pPr>
              <w:pStyle w:val="Heading2"/>
            </w:pPr>
            <w:r>
              <w:t>03/3</w:t>
            </w:r>
            <w:r w:rsidR="00EF74BF">
              <w:t>1</w:t>
            </w:r>
            <w:r>
              <w:t xml:space="preserve">/2021 </w:t>
            </w:r>
          </w:p>
          <w:p w14:paraId="10DFE40F" w14:textId="77777777" w:rsidR="00EE01AC" w:rsidRDefault="00EE01AC" w:rsidP="007A1081">
            <w:pPr>
              <w:pStyle w:val="Heading2"/>
            </w:pPr>
          </w:p>
          <w:p w14:paraId="1CAB79D4" w14:textId="409A8E33" w:rsidR="00EE01AC" w:rsidRPr="00F358EA" w:rsidRDefault="00EE01AC" w:rsidP="007A1081">
            <w:pPr>
              <w:pStyle w:val="Heading2"/>
            </w:pPr>
          </w:p>
        </w:tc>
      </w:tr>
    </w:tbl>
    <w:p w14:paraId="7DB1C609" w14:textId="1FC3A20B" w:rsidR="008A5C69" w:rsidRPr="00EE01AC" w:rsidRDefault="001E614B" w:rsidP="00E325FF">
      <w:pPr>
        <w:ind w:firstLine="720"/>
        <w:rPr>
          <w:rFonts w:cstheme="minorHAnsi"/>
          <w:sz w:val="24"/>
          <w:szCs w:val="24"/>
        </w:rPr>
      </w:pPr>
      <w:r>
        <w:rPr>
          <w:rFonts w:cstheme="minorHAnsi"/>
          <w:sz w:val="24"/>
          <w:szCs w:val="24"/>
        </w:rPr>
        <w:t xml:space="preserve">We’ve received calls and emails asking for updates on the eviction moratoriums, so I wanted to update you. I have attached </w:t>
      </w:r>
      <w:r w:rsidR="00EF74BF">
        <w:rPr>
          <w:rFonts w:cstheme="minorHAnsi"/>
          <w:sz w:val="24"/>
          <w:szCs w:val="24"/>
        </w:rPr>
        <w:t>2</w:t>
      </w:r>
      <w:r>
        <w:rPr>
          <w:rFonts w:cstheme="minorHAnsi"/>
          <w:sz w:val="24"/>
          <w:szCs w:val="24"/>
        </w:rPr>
        <w:t xml:space="preserve"> documents: 1) the CDC Order with modifications</w:t>
      </w:r>
      <w:r w:rsidR="00877D25">
        <w:rPr>
          <w:rFonts w:cstheme="minorHAnsi"/>
          <w:sz w:val="24"/>
          <w:szCs w:val="24"/>
        </w:rPr>
        <w:t>, and</w:t>
      </w:r>
      <w:r>
        <w:rPr>
          <w:rFonts w:cstheme="minorHAnsi"/>
          <w:sz w:val="24"/>
          <w:szCs w:val="24"/>
        </w:rPr>
        <w:t xml:space="preserve"> 2) Governor Kelly’s extension of the eviction moratorium Order 20-61</w:t>
      </w:r>
      <w:r w:rsidR="00EF74BF">
        <w:rPr>
          <w:rFonts w:cstheme="minorHAnsi"/>
          <w:sz w:val="24"/>
          <w:szCs w:val="24"/>
        </w:rPr>
        <w:t xml:space="preserve">.  </w:t>
      </w:r>
    </w:p>
    <w:p w14:paraId="1F1642D8" w14:textId="4161AC12" w:rsidR="00EE01AC" w:rsidRPr="00EE01AC" w:rsidRDefault="00EE01AC" w:rsidP="00E325FF">
      <w:pPr>
        <w:ind w:firstLine="720"/>
        <w:rPr>
          <w:rFonts w:cstheme="minorHAnsi"/>
          <w:sz w:val="24"/>
          <w:szCs w:val="24"/>
        </w:rPr>
      </w:pPr>
      <w:r w:rsidRPr="00EE01AC">
        <w:rPr>
          <w:rFonts w:cstheme="minorHAnsi"/>
          <w:sz w:val="24"/>
          <w:szCs w:val="24"/>
        </w:rPr>
        <w:t xml:space="preserve">First, attached is the CDC Order halting residential evictions through June 30, 2021.  Most of the CDC moratorium remains the same as issued September 4, 2020. </w:t>
      </w:r>
      <w:r w:rsidR="00270571">
        <w:rPr>
          <w:rFonts w:cstheme="minorHAnsi"/>
          <w:sz w:val="24"/>
          <w:szCs w:val="24"/>
        </w:rPr>
        <w:t>One</w:t>
      </w:r>
      <w:r w:rsidRPr="00EE01AC">
        <w:rPr>
          <w:rFonts w:cstheme="minorHAnsi"/>
          <w:sz w:val="24"/>
          <w:szCs w:val="24"/>
        </w:rPr>
        <w:t xml:space="preserve"> modification to the CDC Order, and of interest, is the following:</w:t>
      </w:r>
    </w:p>
    <w:p w14:paraId="0066E86E" w14:textId="5B13A37D" w:rsidR="00EE01AC" w:rsidRPr="001E614B" w:rsidRDefault="00EE01AC" w:rsidP="00E325FF">
      <w:pPr>
        <w:ind w:firstLine="720"/>
        <w:rPr>
          <w:rFonts w:cstheme="minorHAnsi"/>
          <w:i/>
          <w:iCs/>
          <w:sz w:val="24"/>
          <w:szCs w:val="24"/>
        </w:rPr>
      </w:pPr>
      <w:r w:rsidRPr="001E614B">
        <w:rPr>
          <w:rFonts w:cstheme="minorHAnsi"/>
          <w:i/>
          <w:iCs/>
          <w:sz w:val="24"/>
          <w:szCs w:val="24"/>
        </w:rPr>
        <w:t xml:space="preserve">“While the Order does not prohibit evictions for engaging in criminal activity while on the leased premises, covered persons may not be evicted on the sole basis that they are alleged to have committed the crime of trespass (or similar state-law offense) where the underlying activity is a covered person remaining in a residential property despite nonpayment of rent.” </w:t>
      </w:r>
    </w:p>
    <w:p w14:paraId="54F8C4D2" w14:textId="2A7CD548" w:rsidR="00EE01AC" w:rsidRDefault="001E614B" w:rsidP="00E325FF">
      <w:pPr>
        <w:ind w:firstLine="720"/>
        <w:rPr>
          <w:rFonts w:cstheme="minorHAnsi"/>
          <w:sz w:val="24"/>
          <w:szCs w:val="24"/>
        </w:rPr>
      </w:pPr>
      <w:r>
        <w:rPr>
          <w:rFonts w:cstheme="minorHAnsi"/>
          <w:sz w:val="24"/>
          <w:szCs w:val="24"/>
        </w:rPr>
        <w:t>It</w:t>
      </w:r>
      <w:r w:rsidR="00EE01AC">
        <w:rPr>
          <w:rFonts w:cstheme="minorHAnsi"/>
          <w:sz w:val="24"/>
          <w:szCs w:val="24"/>
        </w:rPr>
        <w:t xml:space="preserve"> appears the CDC is trying to protect those who have committed the crime of trespass and the </w:t>
      </w:r>
      <w:r w:rsidR="0076224A">
        <w:rPr>
          <w:rFonts w:cstheme="minorHAnsi"/>
          <w:sz w:val="24"/>
          <w:szCs w:val="24"/>
        </w:rPr>
        <w:t>“</w:t>
      </w:r>
      <w:r w:rsidR="00EE01AC">
        <w:rPr>
          <w:rFonts w:cstheme="minorHAnsi"/>
          <w:sz w:val="24"/>
          <w:szCs w:val="24"/>
        </w:rPr>
        <w:t>covered person</w:t>
      </w:r>
      <w:r w:rsidR="0076224A">
        <w:rPr>
          <w:rFonts w:cstheme="minorHAnsi"/>
          <w:sz w:val="24"/>
          <w:szCs w:val="24"/>
        </w:rPr>
        <w:t>”</w:t>
      </w:r>
      <w:r w:rsidR="00EE01AC">
        <w:rPr>
          <w:rFonts w:cstheme="minorHAnsi"/>
          <w:sz w:val="24"/>
          <w:szCs w:val="24"/>
        </w:rPr>
        <w:t xml:space="preserve"> remains in your property despite nonpayment of rent. </w:t>
      </w:r>
    </w:p>
    <w:p w14:paraId="0404F5D6" w14:textId="4930F400" w:rsidR="00EE01AC" w:rsidRPr="00DC5B21" w:rsidRDefault="00EE01AC" w:rsidP="00E325FF">
      <w:pPr>
        <w:ind w:firstLine="720"/>
        <w:rPr>
          <w:rFonts w:cstheme="minorHAnsi"/>
          <w:sz w:val="24"/>
          <w:szCs w:val="24"/>
        </w:rPr>
      </w:pPr>
      <w:r w:rsidRPr="00DC5B21">
        <w:rPr>
          <w:rFonts w:cstheme="minorHAnsi"/>
          <w:sz w:val="24"/>
          <w:szCs w:val="24"/>
        </w:rPr>
        <w:t xml:space="preserve">Hopefully clarification on this will be forthcoming. </w:t>
      </w:r>
      <w:r w:rsidR="001E614B" w:rsidRPr="00DC5B21">
        <w:rPr>
          <w:rFonts w:cstheme="minorHAnsi"/>
          <w:sz w:val="24"/>
          <w:szCs w:val="24"/>
        </w:rPr>
        <w:t>As this CDC Order modification is unclear, we are going to</w:t>
      </w:r>
      <w:r w:rsidR="00C250C7" w:rsidRPr="00DC5B21">
        <w:rPr>
          <w:rFonts w:cstheme="minorHAnsi"/>
          <w:sz w:val="24"/>
          <w:szCs w:val="24"/>
        </w:rPr>
        <w:t xml:space="preserve"> temporarily</w:t>
      </w:r>
      <w:r w:rsidR="001E614B" w:rsidRPr="00DC5B21">
        <w:rPr>
          <w:rFonts w:cstheme="minorHAnsi"/>
          <w:sz w:val="24"/>
          <w:szCs w:val="24"/>
        </w:rPr>
        <w:t xml:space="preserve"> HALT filing evictions</w:t>
      </w:r>
      <w:r w:rsidR="00DC5B21" w:rsidRPr="00DC5B21">
        <w:rPr>
          <w:rFonts w:cstheme="minorHAnsi"/>
          <w:sz w:val="24"/>
          <w:szCs w:val="24"/>
        </w:rPr>
        <w:t xml:space="preserve"> where you have a CDC Declaration Statement and you’re evicting on a non-renewal or 30-Day Notice. </w:t>
      </w:r>
      <w:r w:rsidR="001E614B" w:rsidRPr="00DC5B21">
        <w:rPr>
          <w:rFonts w:cstheme="minorHAnsi"/>
          <w:sz w:val="24"/>
          <w:szCs w:val="24"/>
        </w:rPr>
        <w:t xml:space="preserve"> </w:t>
      </w:r>
      <w:r w:rsidR="00C250C7" w:rsidRPr="00DC5B21">
        <w:rPr>
          <w:rFonts w:cstheme="minorHAnsi"/>
          <w:sz w:val="24"/>
          <w:szCs w:val="24"/>
        </w:rPr>
        <w:t xml:space="preserve">This does NOT include 14/30 Violations.  </w:t>
      </w:r>
      <w:r w:rsidR="00DC5B21">
        <w:rPr>
          <w:rFonts w:cstheme="minorHAnsi"/>
          <w:sz w:val="24"/>
          <w:szCs w:val="24"/>
        </w:rPr>
        <w:t>We should be getting clarification from</w:t>
      </w:r>
      <w:r w:rsidR="001E614B" w:rsidRPr="00DC5B21">
        <w:rPr>
          <w:rFonts w:cstheme="minorHAnsi"/>
          <w:sz w:val="24"/>
          <w:szCs w:val="24"/>
        </w:rPr>
        <w:t xml:space="preserve"> around the country how other jurisdictions are handling th</w:t>
      </w:r>
      <w:r w:rsidR="00411BCF" w:rsidRPr="00DC5B21">
        <w:rPr>
          <w:rFonts w:cstheme="minorHAnsi"/>
          <w:sz w:val="24"/>
          <w:szCs w:val="24"/>
        </w:rPr>
        <w:t>is CDC Order</w:t>
      </w:r>
      <w:r w:rsidR="001E614B" w:rsidRPr="00DC5B21">
        <w:rPr>
          <w:rFonts w:cstheme="minorHAnsi"/>
          <w:sz w:val="24"/>
          <w:szCs w:val="24"/>
        </w:rPr>
        <w:t xml:space="preserve"> </w:t>
      </w:r>
      <w:r w:rsidR="00DC5B21" w:rsidRPr="00DC5B21">
        <w:rPr>
          <w:rFonts w:cstheme="minorHAnsi"/>
          <w:sz w:val="24"/>
          <w:szCs w:val="24"/>
        </w:rPr>
        <w:t>modification</w:t>
      </w:r>
      <w:r w:rsidR="00DC5B21">
        <w:rPr>
          <w:rFonts w:cstheme="minorHAnsi"/>
          <w:sz w:val="24"/>
          <w:szCs w:val="24"/>
        </w:rPr>
        <w:t xml:space="preserve"> and we will advise soon</w:t>
      </w:r>
      <w:r w:rsidR="001E614B" w:rsidRPr="00DC5B21">
        <w:rPr>
          <w:rFonts w:cstheme="minorHAnsi"/>
          <w:sz w:val="24"/>
          <w:szCs w:val="24"/>
        </w:rPr>
        <w:t xml:space="preserve">. </w:t>
      </w:r>
    </w:p>
    <w:p w14:paraId="7A0B6BED" w14:textId="01FF1E1C" w:rsidR="00EE01AC" w:rsidRDefault="00EE01AC" w:rsidP="00E325FF">
      <w:pPr>
        <w:ind w:firstLine="720"/>
        <w:rPr>
          <w:rFonts w:cstheme="minorHAnsi"/>
          <w:sz w:val="24"/>
          <w:szCs w:val="24"/>
        </w:rPr>
      </w:pPr>
      <w:r w:rsidRPr="00DC5B21">
        <w:rPr>
          <w:rFonts w:cstheme="minorHAnsi"/>
          <w:sz w:val="24"/>
          <w:szCs w:val="24"/>
        </w:rPr>
        <w:t>Governor Laura Kelly</w:t>
      </w:r>
      <w:r>
        <w:rPr>
          <w:rFonts w:cstheme="minorHAnsi"/>
          <w:sz w:val="24"/>
          <w:szCs w:val="24"/>
        </w:rPr>
        <w:t xml:space="preserve"> has signed Senate Bill 40 to extend the current </w:t>
      </w:r>
      <w:r w:rsidR="008B1F0E">
        <w:rPr>
          <w:rFonts w:cstheme="minorHAnsi"/>
          <w:sz w:val="24"/>
          <w:szCs w:val="24"/>
        </w:rPr>
        <w:t>disaster declaration to May 28, 2021.  On April 1, 2021, the Governor will re-issue the following Orders including 20-61 temporarily prohibiting certain evictions.</w:t>
      </w:r>
      <w:r w:rsidR="00411BCF">
        <w:rPr>
          <w:rFonts w:cstheme="minorHAnsi"/>
          <w:sz w:val="24"/>
          <w:szCs w:val="24"/>
        </w:rPr>
        <w:t xml:space="preserve"> This </w:t>
      </w:r>
      <w:r w:rsidR="009251DD">
        <w:rPr>
          <w:rFonts w:cstheme="minorHAnsi"/>
          <w:sz w:val="24"/>
          <w:szCs w:val="24"/>
        </w:rPr>
        <w:t xml:space="preserve">eviction </w:t>
      </w:r>
      <w:r w:rsidR="009251DD">
        <w:rPr>
          <w:rFonts w:cstheme="minorHAnsi"/>
          <w:sz w:val="24"/>
          <w:szCs w:val="24"/>
        </w:rPr>
        <w:lastRenderedPageBreak/>
        <w:t xml:space="preserve">moratorium is the same one that has been in place since August 17, 2020. </w:t>
      </w:r>
      <w:r w:rsidR="00411BCF">
        <w:rPr>
          <w:rFonts w:cstheme="minorHAnsi"/>
          <w:sz w:val="24"/>
          <w:szCs w:val="24"/>
        </w:rPr>
        <w:t xml:space="preserve"> </w:t>
      </w:r>
      <w:r w:rsidR="007A2482">
        <w:rPr>
          <w:rFonts w:cstheme="minorHAnsi"/>
          <w:sz w:val="24"/>
          <w:szCs w:val="24"/>
        </w:rPr>
        <w:t>(s</w:t>
      </w:r>
      <w:r w:rsidR="008B1F0E">
        <w:rPr>
          <w:rFonts w:cstheme="minorHAnsi"/>
          <w:sz w:val="24"/>
          <w:szCs w:val="24"/>
        </w:rPr>
        <w:t xml:space="preserve">ee </w:t>
      </w:r>
      <w:r w:rsidR="00411BCF">
        <w:rPr>
          <w:rFonts w:cstheme="minorHAnsi"/>
          <w:sz w:val="24"/>
          <w:szCs w:val="24"/>
        </w:rPr>
        <w:t>2</w:t>
      </w:r>
      <w:r w:rsidR="00411BCF" w:rsidRPr="00411BCF">
        <w:rPr>
          <w:rFonts w:cstheme="minorHAnsi"/>
          <w:sz w:val="24"/>
          <w:szCs w:val="24"/>
          <w:vertAlign w:val="superscript"/>
        </w:rPr>
        <w:t>nd</w:t>
      </w:r>
      <w:r w:rsidR="00411BCF">
        <w:rPr>
          <w:rFonts w:cstheme="minorHAnsi"/>
          <w:sz w:val="24"/>
          <w:szCs w:val="24"/>
        </w:rPr>
        <w:t xml:space="preserve"> attachment</w:t>
      </w:r>
      <w:r w:rsidR="007A2482">
        <w:rPr>
          <w:rFonts w:cstheme="minorHAnsi"/>
          <w:sz w:val="24"/>
          <w:szCs w:val="24"/>
        </w:rPr>
        <w:t>)</w:t>
      </w:r>
      <w:r w:rsidR="00411BCF">
        <w:rPr>
          <w:rFonts w:cstheme="minorHAnsi"/>
          <w:sz w:val="24"/>
          <w:szCs w:val="24"/>
        </w:rPr>
        <w:t xml:space="preserve">  </w:t>
      </w:r>
    </w:p>
    <w:p w14:paraId="37EA07D1" w14:textId="2B948007" w:rsidR="008B1F0E" w:rsidRDefault="008B1F0E" w:rsidP="00E325FF">
      <w:pPr>
        <w:ind w:firstLine="720"/>
        <w:rPr>
          <w:rFonts w:cstheme="minorHAnsi"/>
          <w:sz w:val="24"/>
          <w:szCs w:val="24"/>
        </w:rPr>
      </w:pPr>
      <w:r>
        <w:rPr>
          <w:rFonts w:cstheme="minorHAnsi"/>
          <w:sz w:val="24"/>
          <w:szCs w:val="24"/>
        </w:rPr>
        <w:t>We will see if Kansas Legislators will challenge this Bill.</w:t>
      </w:r>
    </w:p>
    <w:p w14:paraId="7B005A8A" w14:textId="44635B8A" w:rsidR="008B1F0E" w:rsidRDefault="00270571" w:rsidP="00E325FF">
      <w:pPr>
        <w:ind w:firstLine="720"/>
        <w:rPr>
          <w:rFonts w:cstheme="minorHAnsi"/>
          <w:sz w:val="24"/>
          <w:szCs w:val="24"/>
        </w:rPr>
      </w:pPr>
      <w:r>
        <w:rPr>
          <w:rFonts w:cstheme="minorHAnsi"/>
          <w:sz w:val="24"/>
          <w:szCs w:val="24"/>
        </w:rPr>
        <w:t xml:space="preserve">Most </w:t>
      </w:r>
      <w:r w:rsidR="008B1F0E">
        <w:rPr>
          <w:rFonts w:cstheme="minorHAnsi"/>
          <w:sz w:val="24"/>
          <w:szCs w:val="24"/>
        </w:rPr>
        <w:t>client</w:t>
      </w:r>
      <w:r>
        <w:rPr>
          <w:rFonts w:cstheme="minorHAnsi"/>
          <w:sz w:val="24"/>
          <w:szCs w:val="24"/>
        </w:rPr>
        <w:t>s</w:t>
      </w:r>
      <w:r w:rsidR="008B1F0E">
        <w:rPr>
          <w:rFonts w:cstheme="minorHAnsi"/>
          <w:sz w:val="24"/>
          <w:szCs w:val="24"/>
        </w:rPr>
        <w:t xml:space="preserve"> who have tenants that have applied with WERAP (the City of Wichita program for rental assistance) are on a waitlist for rental money. </w:t>
      </w:r>
      <w:r w:rsidR="00411BCF">
        <w:rPr>
          <w:rFonts w:cstheme="minorHAnsi"/>
          <w:sz w:val="24"/>
          <w:szCs w:val="24"/>
        </w:rPr>
        <w:t xml:space="preserve">At this time, we know of very few who have had their WERAP applications processed and </w:t>
      </w:r>
      <w:r w:rsidR="00C250C7">
        <w:rPr>
          <w:rFonts w:cstheme="minorHAnsi"/>
          <w:sz w:val="24"/>
          <w:szCs w:val="24"/>
        </w:rPr>
        <w:t>most</w:t>
      </w:r>
      <w:r w:rsidR="00411BCF">
        <w:rPr>
          <w:rFonts w:cstheme="minorHAnsi"/>
          <w:sz w:val="24"/>
          <w:szCs w:val="24"/>
        </w:rPr>
        <w:t xml:space="preserve"> have </w:t>
      </w:r>
      <w:r w:rsidR="00C250C7">
        <w:rPr>
          <w:rFonts w:cstheme="minorHAnsi"/>
          <w:sz w:val="24"/>
          <w:szCs w:val="24"/>
        </w:rPr>
        <w:t xml:space="preserve">not </w:t>
      </w:r>
      <w:r w:rsidR="00411BCF">
        <w:rPr>
          <w:rFonts w:cstheme="minorHAnsi"/>
          <w:sz w:val="24"/>
          <w:szCs w:val="24"/>
        </w:rPr>
        <w:t xml:space="preserve">received any payment yet.  </w:t>
      </w:r>
    </w:p>
    <w:p w14:paraId="241A50DB" w14:textId="68D3C19B" w:rsidR="008B1F0E" w:rsidRDefault="008B1F0E" w:rsidP="00E325FF">
      <w:pPr>
        <w:ind w:firstLine="720"/>
        <w:rPr>
          <w:rFonts w:cstheme="minorHAnsi"/>
          <w:sz w:val="24"/>
          <w:szCs w:val="24"/>
        </w:rPr>
      </w:pPr>
      <w:r>
        <w:rPr>
          <w:rFonts w:cstheme="minorHAnsi"/>
          <w:sz w:val="24"/>
          <w:szCs w:val="24"/>
        </w:rPr>
        <w:tab/>
      </w:r>
      <w:r w:rsidR="00C250C7">
        <w:rPr>
          <w:rFonts w:cstheme="minorHAnsi"/>
          <w:sz w:val="24"/>
          <w:szCs w:val="24"/>
        </w:rPr>
        <w:t xml:space="preserve">We have now passed the one-year mark since moratoriums have been in place.  As you can see, they are </w:t>
      </w:r>
      <w:proofErr w:type="gramStart"/>
      <w:r w:rsidR="00C250C7">
        <w:rPr>
          <w:rFonts w:cstheme="minorHAnsi"/>
          <w:sz w:val="24"/>
          <w:szCs w:val="24"/>
        </w:rPr>
        <w:t>continuing  and</w:t>
      </w:r>
      <w:proofErr w:type="gramEnd"/>
      <w:r w:rsidR="00C250C7">
        <w:rPr>
          <w:rFonts w:cstheme="minorHAnsi"/>
          <w:sz w:val="24"/>
          <w:szCs w:val="24"/>
        </w:rPr>
        <w:t xml:space="preserve"> we will continue to adapt to these ongoing moratoriums and modifications. </w:t>
      </w:r>
      <w:r>
        <w:rPr>
          <w:rFonts w:cstheme="minorHAnsi"/>
          <w:sz w:val="24"/>
          <w:szCs w:val="24"/>
        </w:rPr>
        <w:tab/>
      </w:r>
      <w:r>
        <w:rPr>
          <w:rFonts w:cstheme="minorHAnsi"/>
          <w:sz w:val="24"/>
          <w:szCs w:val="24"/>
        </w:rPr>
        <w:tab/>
      </w:r>
    </w:p>
    <w:p w14:paraId="55F8F8F1" w14:textId="5AE8D4D0" w:rsidR="008B1F0E" w:rsidRDefault="008B1F0E" w:rsidP="00E325FF">
      <w:pPr>
        <w:ind w:firstLine="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Kurt A Holmes </w:t>
      </w:r>
    </w:p>
    <w:p w14:paraId="313910D2" w14:textId="75471949" w:rsidR="00E41012" w:rsidRDefault="00E41012" w:rsidP="00E325FF">
      <w:pPr>
        <w:ind w:firstLine="720"/>
        <w:rPr>
          <w:rFonts w:cstheme="minorHAnsi"/>
          <w:sz w:val="24"/>
          <w:szCs w:val="24"/>
        </w:rPr>
      </w:pPr>
    </w:p>
    <w:p w14:paraId="43A1ECEC" w14:textId="2DA9D1F9" w:rsidR="00E41012" w:rsidRDefault="00E41012" w:rsidP="003D5B31">
      <w:pPr>
        <w:rPr>
          <w:rFonts w:cstheme="minorHAnsi"/>
          <w:sz w:val="24"/>
          <w:szCs w:val="24"/>
        </w:rPr>
      </w:pPr>
      <w:r>
        <w:rPr>
          <w:rFonts w:cstheme="minorHAnsi"/>
          <w:sz w:val="24"/>
          <w:szCs w:val="24"/>
        </w:rPr>
        <w:t>Attachments:</w:t>
      </w:r>
    </w:p>
    <w:p w14:paraId="66E8F6ED" w14:textId="5B9C9865" w:rsidR="00E41012" w:rsidRDefault="00E41012" w:rsidP="00E41012">
      <w:pPr>
        <w:pStyle w:val="ListParagraph"/>
        <w:numPr>
          <w:ilvl w:val="0"/>
          <w:numId w:val="11"/>
        </w:numPr>
        <w:rPr>
          <w:rFonts w:cstheme="minorHAnsi"/>
          <w:sz w:val="24"/>
          <w:szCs w:val="24"/>
        </w:rPr>
      </w:pPr>
      <w:r>
        <w:rPr>
          <w:rFonts w:cstheme="minorHAnsi"/>
          <w:sz w:val="24"/>
          <w:szCs w:val="24"/>
        </w:rPr>
        <w:t>CDC Order</w:t>
      </w:r>
      <w:r w:rsidR="003D5B31">
        <w:rPr>
          <w:rFonts w:cstheme="minorHAnsi"/>
          <w:sz w:val="24"/>
          <w:szCs w:val="24"/>
        </w:rPr>
        <w:t xml:space="preserve"> with Modifications</w:t>
      </w:r>
      <w:r w:rsidR="005924F2">
        <w:rPr>
          <w:rFonts w:cstheme="minorHAnsi"/>
          <w:sz w:val="24"/>
          <w:szCs w:val="24"/>
        </w:rPr>
        <w:t xml:space="preserve"> effective 4/1/21</w:t>
      </w:r>
    </w:p>
    <w:p w14:paraId="183DD15F" w14:textId="2CC4FC32" w:rsidR="00E41012" w:rsidRDefault="00E41012" w:rsidP="00E41012">
      <w:pPr>
        <w:pStyle w:val="ListParagraph"/>
        <w:numPr>
          <w:ilvl w:val="0"/>
          <w:numId w:val="11"/>
        </w:numPr>
        <w:rPr>
          <w:rFonts w:cstheme="minorHAnsi"/>
          <w:sz w:val="24"/>
          <w:szCs w:val="24"/>
        </w:rPr>
      </w:pPr>
      <w:r>
        <w:rPr>
          <w:rFonts w:cstheme="minorHAnsi"/>
          <w:sz w:val="24"/>
          <w:szCs w:val="24"/>
        </w:rPr>
        <w:t xml:space="preserve">Governor Kelly’s </w:t>
      </w:r>
      <w:r w:rsidR="003D5B31">
        <w:rPr>
          <w:rFonts w:cstheme="minorHAnsi"/>
          <w:sz w:val="24"/>
          <w:szCs w:val="24"/>
        </w:rPr>
        <w:t xml:space="preserve">Response Bill </w:t>
      </w:r>
      <w:r w:rsidR="005924F2">
        <w:rPr>
          <w:rFonts w:cstheme="minorHAnsi"/>
          <w:sz w:val="24"/>
          <w:szCs w:val="24"/>
        </w:rPr>
        <w:t>effective 4/1/21</w:t>
      </w:r>
    </w:p>
    <w:sectPr w:rsidR="00E41012" w:rsidSect="00C8765D">
      <w:footerReference w:type="even" r:id="rId7"/>
      <w:footerReference w:type="default" r:id="rId8"/>
      <w:pgSz w:w="12240" w:h="15840" w:code="1"/>
      <w:pgMar w:top="1440" w:right="1800" w:bottom="1440" w:left="1800" w:header="960" w:footer="6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5EDDA" w14:textId="77777777" w:rsidR="008A5C69" w:rsidRDefault="008A5C69">
      <w:r>
        <w:separator/>
      </w:r>
    </w:p>
    <w:p w14:paraId="44328708" w14:textId="77777777" w:rsidR="008A5C69" w:rsidRDefault="008A5C69"/>
  </w:endnote>
  <w:endnote w:type="continuationSeparator" w:id="0">
    <w:p w14:paraId="17854A82" w14:textId="77777777" w:rsidR="008A5C69" w:rsidRDefault="008A5C69">
      <w:r>
        <w:continuationSeparator/>
      </w:r>
    </w:p>
    <w:p w14:paraId="6F882B86" w14:textId="77777777" w:rsidR="008A5C69" w:rsidRDefault="008A5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2A310"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1F657B5" w14:textId="77777777" w:rsidR="005673B8" w:rsidRDefault="005673B8">
    <w:pPr>
      <w:pStyle w:val="Footer"/>
    </w:pPr>
  </w:p>
  <w:p w14:paraId="028F8BC1"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104634"/>
      <w:docPartObj>
        <w:docPartGallery w:val="Page Numbers (Bottom of Page)"/>
        <w:docPartUnique/>
      </w:docPartObj>
    </w:sdtPr>
    <w:sdtEndPr>
      <w:rPr>
        <w:noProof/>
      </w:rPr>
    </w:sdtEndPr>
    <w:sdtContent>
      <w:p w14:paraId="5A37A11F" w14:textId="77777777" w:rsidR="00C8765D" w:rsidRDefault="00C8765D" w:rsidP="00C8765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14048" w14:textId="77777777" w:rsidR="008A5C69" w:rsidRDefault="008A5C69">
      <w:r>
        <w:separator/>
      </w:r>
    </w:p>
    <w:p w14:paraId="0EDC06EA" w14:textId="77777777" w:rsidR="008A5C69" w:rsidRDefault="008A5C69"/>
  </w:footnote>
  <w:footnote w:type="continuationSeparator" w:id="0">
    <w:p w14:paraId="2A3E7403" w14:textId="77777777" w:rsidR="008A5C69" w:rsidRDefault="008A5C69">
      <w:r>
        <w:continuationSeparator/>
      </w:r>
    </w:p>
    <w:p w14:paraId="38F54FF6" w14:textId="77777777" w:rsidR="008A5C69" w:rsidRDefault="008A5C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FB60D0"/>
    <w:multiLevelType w:val="hybridMultilevel"/>
    <w:tmpl w:val="165E89CC"/>
    <w:lvl w:ilvl="0" w:tplc="C62AE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69"/>
    <w:rsid w:val="00020E86"/>
    <w:rsid w:val="00075BA2"/>
    <w:rsid w:val="000C46BF"/>
    <w:rsid w:val="000D4049"/>
    <w:rsid w:val="001011C8"/>
    <w:rsid w:val="00114C1E"/>
    <w:rsid w:val="00124376"/>
    <w:rsid w:val="001772FF"/>
    <w:rsid w:val="001D09F2"/>
    <w:rsid w:val="001E614B"/>
    <w:rsid w:val="00245746"/>
    <w:rsid w:val="00270571"/>
    <w:rsid w:val="002A6C47"/>
    <w:rsid w:val="002C4BD7"/>
    <w:rsid w:val="00354FAD"/>
    <w:rsid w:val="003D5B31"/>
    <w:rsid w:val="003D6196"/>
    <w:rsid w:val="00411BCF"/>
    <w:rsid w:val="00431C47"/>
    <w:rsid w:val="00491AC4"/>
    <w:rsid w:val="004A12C7"/>
    <w:rsid w:val="004B01D8"/>
    <w:rsid w:val="00556689"/>
    <w:rsid w:val="005673B8"/>
    <w:rsid w:val="005924F2"/>
    <w:rsid w:val="0059699D"/>
    <w:rsid w:val="005E3FDD"/>
    <w:rsid w:val="006578FD"/>
    <w:rsid w:val="006700B8"/>
    <w:rsid w:val="00674BAA"/>
    <w:rsid w:val="00733156"/>
    <w:rsid w:val="00754980"/>
    <w:rsid w:val="0076224A"/>
    <w:rsid w:val="00776EC9"/>
    <w:rsid w:val="007A1081"/>
    <w:rsid w:val="007A2482"/>
    <w:rsid w:val="007B07E9"/>
    <w:rsid w:val="007F776A"/>
    <w:rsid w:val="00853521"/>
    <w:rsid w:val="00877D25"/>
    <w:rsid w:val="008869B4"/>
    <w:rsid w:val="008A5C69"/>
    <w:rsid w:val="008B1F0E"/>
    <w:rsid w:val="00904D59"/>
    <w:rsid w:val="009251DD"/>
    <w:rsid w:val="00947A54"/>
    <w:rsid w:val="00991DFF"/>
    <w:rsid w:val="00A5444A"/>
    <w:rsid w:val="00A814DB"/>
    <w:rsid w:val="00AA183A"/>
    <w:rsid w:val="00AC2B60"/>
    <w:rsid w:val="00AF3F83"/>
    <w:rsid w:val="00B816AD"/>
    <w:rsid w:val="00BB0495"/>
    <w:rsid w:val="00BD16EA"/>
    <w:rsid w:val="00C170EC"/>
    <w:rsid w:val="00C250C7"/>
    <w:rsid w:val="00C51070"/>
    <w:rsid w:val="00C551B4"/>
    <w:rsid w:val="00C86C52"/>
    <w:rsid w:val="00C8765D"/>
    <w:rsid w:val="00D7023D"/>
    <w:rsid w:val="00D771EB"/>
    <w:rsid w:val="00D86A55"/>
    <w:rsid w:val="00D8714B"/>
    <w:rsid w:val="00DC5B21"/>
    <w:rsid w:val="00DE1694"/>
    <w:rsid w:val="00DF1E78"/>
    <w:rsid w:val="00E026FE"/>
    <w:rsid w:val="00E325FF"/>
    <w:rsid w:val="00E41012"/>
    <w:rsid w:val="00E77F68"/>
    <w:rsid w:val="00EE01AC"/>
    <w:rsid w:val="00EF74BF"/>
    <w:rsid w:val="00F27046"/>
    <w:rsid w:val="00F34143"/>
    <w:rsid w:val="00F358EA"/>
    <w:rsid w:val="00F37651"/>
    <w:rsid w:val="00F866D6"/>
    <w:rsid w:val="00F96B87"/>
    <w:rsid w:val="00FE380E"/>
    <w:rsid w:val="00FE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07FA71D"/>
  <w15:docId w15:val="{82EC844A-8C95-4DF3-9459-BF850A6C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5D"/>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unhideWhenUsed/>
    <w:qFormat/>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1F497D"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1F497D"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1F497D"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1F497D"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632423"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632423"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unhideWhenUsed/>
    <w:rsid w:val="00C8765D"/>
    <w:pPr>
      <w:keepLines/>
      <w:pBdr>
        <w:top w:val="single" w:sz="6" w:space="2" w:color="auto"/>
      </w:pBdr>
      <w:spacing w:before="0"/>
      <w:ind w:left="4075" w:right="4075"/>
      <w:jc w:val="center"/>
    </w:pPr>
    <w:rPr>
      <w:kern w:val="18"/>
    </w:rPr>
  </w:style>
  <w:style w:type="paragraph" w:styleId="Header">
    <w:name w:val="header"/>
    <w:basedOn w:val="Normal"/>
    <w:uiPriority w:val="99"/>
    <w:unhideWhenUsed/>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431C47"/>
    <w:pPr>
      <w:pBdr>
        <w:top w:val="double" w:sz="6" w:space="8" w:color="404040" w:themeColor="text1" w:themeTint="BF"/>
        <w:bottom w:val="double" w:sz="6" w:space="8" w:color="404040" w:themeColor="text1" w:themeTint="BF"/>
      </w:pBdr>
      <w:spacing w:after="200"/>
      <w:contextualSpacing/>
      <w:jc w:val="center"/>
    </w:pPr>
    <w:rPr>
      <w:rFonts w:asciiTheme="majorHAnsi" w:hAnsiTheme="majorHAnsi"/>
      <w:b/>
      <w:caps/>
      <w:spacing w:val="20"/>
    </w:rPr>
  </w:style>
  <w:style w:type="character" w:customStyle="1" w:styleId="TitleChar">
    <w:name w:val="Title Char"/>
    <w:basedOn w:val="DefaultParagraphFont"/>
    <w:link w:val="Title"/>
    <w:uiPriority w:val="2"/>
    <w:rsid w:val="00431C47"/>
    <w:rPr>
      <w:rFonts w:asciiTheme="majorHAnsi" w:hAnsiTheme="majorHAnsi"/>
      <w:b/>
      <w:caps/>
      <w:spacing w:val="20"/>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spacing w:before="0"/>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1F497D"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800080"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styleId="GridTable1Light">
    <w:name w:val="Grid Table 1 Light"/>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4B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4BD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4BD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4BD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4BD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4BD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4BD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C4BD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C4BD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C4BD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C4BD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C4BD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1F497D"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1F497D"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632423"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632423"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semiHidden/>
    <w:unhideWhenUsed/>
    <w:rsid w:val="002C4BD7"/>
    <w:rPr>
      <w:color w:val="0000F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365F91"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4F81BD" w:themeColor="accent1"/>
        <w:bottom w:val="single" w:sz="4" w:space="10" w:color="4F81BD" w:themeColor="accent1"/>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674BAA"/>
    <w:rPr>
      <w:i/>
      <w:iCs/>
      <w:color w:val="365F91" w:themeColor="accent1" w:themeShade="BF"/>
    </w:rPr>
  </w:style>
  <w:style w:type="character" w:styleId="IntenseReference">
    <w:name w:val="Intense Reference"/>
    <w:basedOn w:val="DefaultParagraphFont"/>
    <w:uiPriority w:val="32"/>
    <w:semiHidden/>
    <w:unhideWhenUsed/>
    <w:qFormat/>
    <w:rsid w:val="00674BAA"/>
    <w:rPr>
      <w:b/>
      <w:bCs/>
      <w:caps w:val="0"/>
      <w:smallCaps/>
      <w:color w:val="365F91"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C4BD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C4B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C4BD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C4BD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C4BD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unhideWhenUsed/>
    <w:qFormat/>
    <w:rsid w:val="002C4BD7"/>
    <w:pPr>
      <w:ind w:left="720"/>
      <w:contextualSpacing/>
    </w:pPr>
  </w:style>
  <w:style w:type="table" w:styleId="ListTable1Light">
    <w:name w:val="List Table 1 Light"/>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4BD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C4BD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C4BD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C4BD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C4BD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C4BD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4B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C4BD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C4BD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C4BD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C4BD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C4BD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4BD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4BD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4BD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4BD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4BD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4BD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4BD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C4BD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C4BD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C4BD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C4BD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C4BD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4BD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4BD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4BD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4BD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4BD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4BD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styleId="PlainTable1">
    <w:name w:val="Plain Table 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styleId="SmartHyperlink">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styleId="UnresolvedMention">
    <w:name w:val="Unresolved Mention"/>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rsid w:val="00C8765D"/>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ay\AppData\Roaming\Microsoft\Templates\Memo%20(elega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C2CF76CE7443EE9142168172D824D6"/>
        <w:category>
          <w:name w:val="General"/>
          <w:gallery w:val="placeholder"/>
        </w:category>
        <w:types>
          <w:type w:val="bbPlcHdr"/>
        </w:types>
        <w:behaviors>
          <w:behavior w:val="content"/>
        </w:behaviors>
        <w:guid w:val="{8412D7F9-C81E-4B62-B8AA-3248F1F4092F}"/>
      </w:docPartPr>
      <w:docPartBody>
        <w:p w:rsidR="000B2BC6" w:rsidRDefault="000B2BC6">
          <w:pPr>
            <w:pStyle w:val="76C2CF76CE7443EE9142168172D824D6"/>
          </w:pPr>
          <w:r w:rsidRPr="005673B8">
            <w:t>to</w:t>
          </w:r>
        </w:p>
      </w:docPartBody>
    </w:docPart>
    <w:docPart>
      <w:docPartPr>
        <w:name w:val="A62C8F742A394DAA8A93E0E37AC5B779"/>
        <w:category>
          <w:name w:val="General"/>
          <w:gallery w:val="placeholder"/>
        </w:category>
        <w:types>
          <w:type w:val="bbPlcHdr"/>
        </w:types>
        <w:behaviors>
          <w:behavior w:val="content"/>
        </w:behaviors>
        <w:guid w:val="{DBCCC519-C4B6-4F9C-85EB-30C67E981C48}"/>
      </w:docPartPr>
      <w:docPartBody>
        <w:p w:rsidR="000B2BC6" w:rsidRDefault="000B2BC6">
          <w:pPr>
            <w:pStyle w:val="A62C8F742A394DAA8A93E0E37AC5B779"/>
          </w:pPr>
          <w:r w:rsidRPr="005673B8">
            <w:t>from</w:t>
          </w:r>
        </w:p>
      </w:docPartBody>
    </w:docPart>
    <w:docPart>
      <w:docPartPr>
        <w:name w:val="EF65FB8DDAAE4269A02801FE8D1AA600"/>
        <w:category>
          <w:name w:val="General"/>
          <w:gallery w:val="placeholder"/>
        </w:category>
        <w:types>
          <w:type w:val="bbPlcHdr"/>
        </w:types>
        <w:behaviors>
          <w:behavior w:val="content"/>
        </w:behaviors>
        <w:guid w:val="{324E9882-A47C-44C4-8E29-C0DE9564591C}"/>
      </w:docPartPr>
      <w:docPartBody>
        <w:p w:rsidR="000B2BC6" w:rsidRDefault="000B2BC6">
          <w:pPr>
            <w:pStyle w:val="EF65FB8DDAAE4269A02801FE8D1AA600"/>
          </w:pPr>
          <w:r w:rsidRPr="005673B8">
            <w:t>subject</w:t>
          </w:r>
        </w:p>
      </w:docPartBody>
    </w:docPart>
    <w:docPart>
      <w:docPartPr>
        <w:name w:val="5E5724B02C4B45B9850B0C60172CF70D"/>
        <w:category>
          <w:name w:val="General"/>
          <w:gallery w:val="placeholder"/>
        </w:category>
        <w:types>
          <w:type w:val="bbPlcHdr"/>
        </w:types>
        <w:behaviors>
          <w:behavior w:val="content"/>
        </w:behaviors>
        <w:guid w:val="{244A168C-D1EE-48DD-B71F-387F9E202FB8}"/>
      </w:docPartPr>
      <w:docPartBody>
        <w:p w:rsidR="000B2BC6" w:rsidRDefault="000B2BC6">
          <w:pPr>
            <w:pStyle w:val="5E5724B02C4B45B9850B0C60172CF70D"/>
          </w:pPr>
          <w:r w:rsidRPr="005673B8">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C6"/>
    <w:rsid w:val="000B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C2CF76CE7443EE9142168172D824D6">
    <w:name w:val="76C2CF76CE7443EE9142168172D824D6"/>
  </w:style>
  <w:style w:type="paragraph" w:customStyle="1" w:styleId="A62C8F742A394DAA8A93E0E37AC5B779">
    <w:name w:val="A62C8F742A394DAA8A93E0E37AC5B779"/>
  </w:style>
  <w:style w:type="paragraph" w:customStyle="1" w:styleId="EF65FB8DDAAE4269A02801FE8D1AA600">
    <w:name w:val="EF65FB8DDAAE4269A02801FE8D1AA600"/>
  </w:style>
  <w:style w:type="paragraph" w:customStyle="1" w:styleId="5E5724B02C4B45B9850B0C60172CF70D">
    <w:name w:val="5E5724B02C4B45B9850B0C60172CF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(elegant).dotx</Template>
  <TotalTime>7</TotalTime>
  <Pages>2</Pages>
  <Words>407</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Inday Metzger</dc:creator>
  <cp:lastModifiedBy>Amy Baker</cp:lastModifiedBy>
  <cp:revision>4</cp:revision>
  <cp:lastPrinted>2021-03-31T15:01:00Z</cp:lastPrinted>
  <dcterms:created xsi:type="dcterms:W3CDTF">2021-03-31T15:01:00Z</dcterms:created>
  <dcterms:modified xsi:type="dcterms:W3CDTF">2021-03-31T15:08:00Z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